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3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_Toc28842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偏离方案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报告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6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</w:t>
            </w:r>
          </w:p>
        </w:tc>
        <w:tc>
          <w:tcPr>
            <w:tcW w:w="6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68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一、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偏离方案的类别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8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为消除对受试者的紧急危害，在伦理审查委员会同意前，研究者偏离方案</w:t>
            </w:r>
          </w:p>
        </w:tc>
      </w:tr>
    </w:tbl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8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研究纳入了不符合纳入标准或符合排除标准的受试者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8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符合终止试验规定而未让受试者退出研究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8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给予错误的治疗或剂量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8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给予方案禁止的合并用药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8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可能对受试者的权益和安全造成显著影响的情况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8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可能对研究的科学性造成显著影响的情况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8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同一研究人员的同一偏离方案行为在被要求纠正后，再次发生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8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研究人员不配合检查/稽查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8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研究人员对偏离方案事件不予以纠正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  <w:tc>
          <w:tcPr>
            <w:tcW w:w="78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二、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偏离方案事件的描述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eastAsia="宋体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三、</w:t>
      </w:r>
      <w:r>
        <w:rPr>
          <w:rFonts w:hint="eastAsia" w:cs="Times New Roman"/>
          <w:b/>
          <w:bCs/>
          <w:sz w:val="24"/>
          <w:szCs w:val="24"/>
          <w:vertAlign w:val="baseline"/>
          <w:lang w:val="en-US" w:eastAsia="zh-CN"/>
        </w:rPr>
        <w:t>对偏离方案采取的纠正措施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6"/>
        <w:tblpPr w:leftFromText="181" w:rightFromText="181" w:vertAnchor="text" w:horzAnchor="page" w:tblpX="1801" w:tblpY="114"/>
        <w:tblOverlap w:val="never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default" w:eastAsia="宋体"/>
        <w:b/>
        <w:bCs/>
        <w:lang w:val="en-US" w:eastAsia="zh-CN"/>
      </w:rPr>
    </w:pPr>
    <w:r>
      <w:drawing>
        <wp:inline distT="0" distB="0" distL="114300" distR="114300">
          <wp:extent cx="1776730" cy="419100"/>
          <wp:effectExtent l="0" t="0" r="13970" b="0"/>
          <wp:docPr id="18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IRB-AF-SS-08-01.0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494A0B1A"/>
    <w:rsid w:val="00FA7153"/>
    <w:rsid w:val="22E7371A"/>
    <w:rsid w:val="23CC289B"/>
    <w:rsid w:val="494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2023-10-13T03:33:00Z</dcterms:created>
  <dc:creator>阚鹏飞</dc:creator>
  <cp:lastModifiedBy>阚鹏飞</cp:lastModifiedBy>
  <dcterms:modified xsi:type="dcterms:W3CDTF">2024-02-27T07:09:17Z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CAFD2BAC0BC04A31A0AC1F2ED5F18FF0_11</vt:lpwstr>
  </property>
</Properties>
</file>